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465" w:lineRule="atLeast"/>
        <w:rPr>
          <w:rStyle w:val="7"/>
          <w:rFonts w:ascii="仿宋_GB2312" w:eastAsia="仿宋_GB2312" w:cs="仿宋_GB2312"/>
          <w:sz w:val="21"/>
          <w:szCs w:val="21"/>
        </w:rPr>
      </w:pPr>
      <w:r>
        <w:rPr>
          <w:rStyle w:val="7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YFYC-</w:t>
      </w:r>
      <w:r>
        <w:rPr>
          <w:rFonts w:hint="eastAsia" w:ascii="仿宋_GB2312" w:hAnsi="宋体" w:eastAsia="仿宋_GB2312" w:cs="仿宋"/>
          <w:b/>
          <w:color w:val="auto"/>
          <w:kern w:val="1"/>
          <w:sz w:val="24"/>
          <w:u w:val="none"/>
          <w:lang w:val="en-US" w:eastAsia="zh-CN"/>
        </w:rPr>
        <w:t>GLZL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-2023-1</w:t>
      </w:r>
    </w:p>
    <w:tbl>
      <w:tblPr>
        <w:tblStyle w:val="5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联系方式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both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一分公司益常高速扩容工程第六合同段项目经理部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5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5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5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80" w:lineRule="exact"/>
                    <w:jc w:val="both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一分公司益常高速扩容工程第六合同段项目钢模板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590" w:firstLineChars="245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YFYC-GLZL-2023-1</w:t>
                  </w: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